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Pr="00CC6E1A" w:rsidRDefault="00CC6E1A" w:rsidP="00CC6E1A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CC6E1A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CC6E1A" w:rsidRDefault="00CC6E1A" w:rsidP="00AD67AF">
      <w:pPr>
        <w:rPr>
          <w:noProof/>
          <w:lang w:eastAsia="ru-RU"/>
        </w:rPr>
      </w:pPr>
    </w:p>
    <w:p w:rsidR="00AD67AF" w:rsidRDefault="00AD67AF" w:rsidP="00AD67AF">
      <w:pPr>
        <w:rPr>
          <w:rFonts w:ascii="Times New Roman" w:hAnsi="Times New Roman"/>
          <w:sz w:val="28"/>
          <w:szCs w:val="28"/>
        </w:rPr>
      </w:pPr>
      <w:r w:rsidRPr="00AD67AF">
        <w:rPr>
          <w:rFonts w:ascii="Times New Roman" w:hAnsi="Times New Roman"/>
          <w:sz w:val="28"/>
          <w:szCs w:val="28"/>
        </w:rPr>
        <w:t xml:space="preserve">              КАРАР                                       </w:t>
      </w:r>
      <w:r w:rsidR="00CC6E1A">
        <w:rPr>
          <w:rFonts w:ascii="Times New Roman" w:hAnsi="Times New Roman"/>
          <w:sz w:val="28"/>
          <w:szCs w:val="28"/>
        </w:rPr>
        <w:t xml:space="preserve">   </w:t>
      </w:r>
      <w:r w:rsidRPr="00AD67AF">
        <w:rPr>
          <w:rFonts w:ascii="Times New Roman" w:hAnsi="Times New Roman"/>
          <w:sz w:val="28"/>
          <w:szCs w:val="28"/>
        </w:rPr>
        <w:t xml:space="preserve">                         ПОСТАНОВЛЕНИЕ</w:t>
      </w:r>
    </w:p>
    <w:p w:rsidR="00BA622F" w:rsidRPr="00AD67AF" w:rsidRDefault="00BA622F" w:rsidP="00AD67AF">
      <w:pPr>
        <w:rPr>
          <w:rFonts w:ascii="Times New Roman" w:hAnsi="Times New Roman"/>
          <w:sz w:val="28"/>
          <w:szCs w:val="28"/>
        </w:rPr>
      </w:pPr>
    </w:p>
    <w:p w:rsidR="00AD67AF" w:rsidRPr="00AD67AF" w:rsidRDefault="00CC6E1A" w:rsidP="00AD67AF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июнь 2022 й.</w:t>
      </w:r>
      <w:r w:rsidR="00BA622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№ ____                          </w:t>
      </w:r>
      <w:r w:rsidR="00BA622F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 2022 г.</w:t>
      </w:r>
      <w:r w:rsidR="00AD67AF" w:rsidRPr="00AD67AF">
        <w:rPr>
          <w:rFonts w:ascii="Times New Roman" w:hAnsi="Times New Roman"/>
          <w:sz w:val="28"/>
          <w:szCs w:val="28"/>
        </w:rPr>
        <w:t xml:space="preserve">  </w:t>
      </w:r>
    </w:p>
    <w:p w:rsidR="007014D3" w:rsidRPr="00427E47" w:rsidRDefault="00CC6E1A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CC6E1A">
        <w:rPr>
          <w:bCs/>
          <w:color w:val="333333"/>
          <w:sz w:val="28"/>
          <w:szCs w:val="28"/>
        </w:rPr>
        <w:t>.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D729AC">
        <w:rPr>
          <w:bCs/>
          <w:sz w:val="28"/>
          <w:szCs w:val="28"/>
        </w:rPr>
        <w:t>Старокудашевский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CC6E1A">
        <w:rPr>
          <w:sz w:val="28"/>
          <w:szCs w:val="28"/>
        </w:rPr>
        <w:t>Янаульский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                </w:t>
      </w:r>
      <w:r w:rsidR="00065312" w:rsidRPr="007014D3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D729AC">
        <w:rPr>
          <w:bCs/>
          <w:sz w:val="28"/>
          <w:szCs w:val="28"/>
        </w:rPr>
        <w:t>Старокудашевский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CC6E1A">
        <w:rPr>
          <w:color w:val="333333"/>
          <w:sz w:val="28"/>
          <w:szCs w:val="28"/>
        </w:rPr>
        <w:t>Янаульский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F81B2C" w:rsidRPr="00F81B2C" w:rsidRDefault="00F81B2C" w:rsidP="00F81B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2"/>
        </w:rPr>
        <w:t xml:space="preserve">3.  </w:t>
      </w:r>
      <w:r w:rsidRPr="00F81B2C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Pr="00F81B2C">
        <w:rPr>
          <w:rFonts w:ascii="Times New Roman" w:hAnsi="Times New Roman"/>
          <w:sz w:val="28"/>
          <w:szCs w:val="28"/>
        </w:rPr>
        <w:t>Старокудашево</w:t>
      </w:r>
      <w:proofErr w:type="spellEnd"/>
      <w:r w:rsidRPr="00F81B2C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81B2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F81B2C">
        <w:rPr>
          <w:rFonts w:ascii="Times New Roman" w:hAnsi="Times New Roman"/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6" w:history="1">
        <w:r w:rsidRPr="00F81B2C">
          <w:rPr>
            <w:rStyle w:val="afc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Pr="00F81B2C">
        <w:rPr>
          <w:rFonts w:ascii="Times New Roman" w:hAnsi="Times New Roman"/>
          <w:sz w:val="28"/>
          <w:szCs w:val="28"/>
        </w:rPr>
        <w:t>.</w:t>
      </w:r>
    </w:p>
    <w:p w:rsidR="00F81B2C" w:rsidRPr="00F81B2C" w:rsidRDefault="00F81B2C" w:rsidP="00F81B2C">
      <w:pPr>
        <w:jc w:val="both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D729AC">
        <w:rPr>
          <w:color w:val="333333"/>
          <w:sz w:val="28"/>
          <w:szCs w:val="28"/>
        </w:rPr>
        <w:t xml:space="preserve">             И.Х.Шакирьянов</w:t>
      </w:r>
      <w:bookmarkStart w:id="0" w:name="_GoBack"/>
      <w:bookmarkEnd w:id="0"/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D729AC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Старокудашевский</w:t>
            </w:r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Янаульский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 ___ июня 2022г. № ____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1.    </w:t>
      </w:r>
      <w:proofErr w:type="gramStart"/>
      <w:r w:rsidRPr="007014D3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7014D3">
        <w:rPr>
          <w:color w:val="333333"/>
          <w:sz w:val="28"/>
          <w:szCs w:val="28"/>
        </w:rPr>
        <w:t xml:space="preserve">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7014D3">
        <w:rPr>
          <w:color w:val="333333"/>
          <w:sz w:val="28"/>
          <w:szCs w:val="28"/>
        </w:rPr>
        <w:t>кт вкл</w:t>
      </w:r>
      <w:proofErr w:type="gramEnd"/>
      <w:r w:rsidRPr="007014D3">
        <w:rPr>
          <w:color w:val="333333"/>
          <w:sz w:val="28"/>
          <w:szCs w:val="28"/>
        </w:rPr>
        <w:t>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</w:t>
      </w:r>
      <w:r w:rsidRPr="007014D3">
        <w:rPr>
          <w:color w:val="333333"/>
          <w:sz w:val="28"/>
          <w:szCs w:val="28"/>
        </w:rPr>
        <w:lastRenderedPageBreak/>
        <w:t>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7014D3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7014D3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</w:t>
      </w:r>
      <w:r w:rsidRPr="007014D3">
        <w:rPr>
          <w:color w:val="333333"/>
          <w:sz w:val="28"/>
          <w:szCs w:val="28"/>
        </w:rPr>
        <w:lastRenderedPageBreak/>
        <w:t xml:space="preserve">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D729AC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Старокудашевский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Янаульский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BA622F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/>
                <w:sz w:val="28"/>
                <w:szCs w:val="28"/>
              </w:rPr>
              <w:t>2022г. № ____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 xml:space="preserve">оселения </w:t>
      </w:r>
      <w:r w:rsidR="00D729AC">
        <w:rPr>
          <w:b/>
          <w:color w:val="333333"/>
          <w:sz w:val="28"/>
          <w:szCs w:val="28"/>
        </w:rPr>
        <w:t>Старокудашевский</w:t>
      </w:r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</w:t>
      </w:r>
      <w:r w:rsidR="00CC6E1A">
        <w:rPr>
          <w:b/>
          <w:color w:val="333333"/>
          <w:sz w:val="28"/>
          <w:szCs w:val="28"/>
        </w:rPr>
        <w:t>Янаульский</w:t>
      </w:r>
      <w:r w:rsidR="00D43704" w:rsidRPr="007014D3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Заказчик вправе </w:t>
      </w:r>
      <w:proofErr w:type="gramStart"/>
      <w:r w:rsidRPr="007014D3">
        <w:rPr>
          <w:color w:val="333333"/>
          <w:sz w:val="28"/>
          <w:szCs w:val="28"/>
        </w:rPr>
        <w:t>установить условие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7014D3">
        <w:rPr>
          <w:color w:val="333333"/>
          <w:sz w:val="28"/>
          <w:szCs w:val="28"/>
        </w:rPr>
        <w:t>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>ного самоуправления сельского поселения</w:t>
      </w:r>
      <w:proofErr w:type="gramEnd"/>
      <w:r w:rsidR="00AE755E" w:rsidRPr="007014D3">
        <w:rPr>
          <w:color w:val="333333"/>
          <w:sz w:val="28"/>
          <w:szCs w:val="28"/>
        </w:rPr>
        <w:t xml:space="preserve"> </w:t>
      </w:r>
      <w:r w:rsidR="00D729AC">
        <w:rPr>
          <w:color w:val="333333"/>
          <w:sz w:val="28"/>
          <w:szCs w:val="28"/>
        </w:rPr>
        <w:t>Старокудашевский</w:t>
      </w:r>
      <w:r w:rsidR="007014D3">
        <w:rPr>
          <w:color w:val="333333"/>
          <w:sz w:val="28"/>
          <w:szCs w:val="28"/>
        </w:rPr>
        <w:t xml:space="preserve"> сельсовет муниципального района </w:t>
      </w:r>
      <w:r w:rsidR="00CC6E1A">
        <w:rPr>
          <w:color w:val="333333"/>
          <w:sz w:val="28"/>
          <w:szCs w:val="28"/>
        </w:rPr>
        <w:t>Янаульский</w:t>
      </w:r>
      <w:r w:rsid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sectPr w:rsidR="00AE755E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50" w:rsidRDefault="003C2750" w:rsidP="00AE755E">
      <w:r>
        <w:separator/>
      </w:r>
    </w:p>
  </w:endnote>
  <w:endnote w:type="continuationSeparator" w:id="0">
    <w:p w:rsidR="003C2750" w:rsidRDefault="003C2750" w:rsidP="00AE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50" w:rsidRDefault="003C2750" w:rsidP="00AE755E">
      <w:r>
        <w:separator/>
      </w:r>
    </w:p>
  </w:footnote>
  <w:footnote w:type="continuationSeparator" w:id="0">
    <w:p w:rsidR="003C2750" w:rsidRDefault="003C2750" w:rsidP="00AE7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E2F"/>
    <w:rsid w:val="00065312"/>
    <w:rsid w:val="000B35E8"/>
    <w:rsid w:val="001F1546"/>
    <w:rsid w:val="00260DB6"/>
    <w:rsid w:val="002A5CBE"/>
    <w:rsid w:val="003C2750"/>
    <w:rsid w:val="003E3256"/>
    <w:rsid w:val="00427E47"/>
    <w:rsid w:val="004361C9"/>
    <w:rsid w:val="004768BE"/>
    <w:rsid w:val="00516296"/>
    <w:rsid w:val="005661A4"/>
    <w:rsid w:val="006E39BD"/>
    <w:rsid w:val="007014D3"/>
    <w:rsid w:val="0083164C"/>
    <w:rsid w:val="008A064E"/>
    <w:rsid w:val="008F693C"/>
    <w:rsid w:val="009309E9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622F"/>
    <w:rsid w:val="00C82842"/>
    <w:rsid w:val="00CC6E1A"/>
    <w:rsid w:val="00CD4493"/>
    <w:rsid w:val="00CE064F"/>
    <w:rsid w:val="00D43704"/>
    <w:rsid w:val="00D51547"/>
    <w:rsid w:val="00D729AC"/>
    <w:rsid w:val="00D74958"/>
    <w:rsid w:val="00E02A5C"/>
    <w:rsid w:val="00E640B9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eYYGR9KYq8RUu8hAZDs8jA&amp;l=aHR0cDovL3N0YXJva3VkYXNoZXZvLnJ1L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2022-06-27T03:53:00Z</cp:lastPrinted>
  <dcterms:created xsi:type="dcterms:W3CDTF">2022-06-27T03:53:00Z</dcterms:created>
  <dcterms:modified xsi:type="dcterms:W3CDTF">2022-06-27T04:15:00Z</dcterms:modified>
</cp:coreProperties>
</file>